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50" w:rsidRDefault="005D4A50">
      <w:pPr>
        <w:spacing w:line="700" w:lineRule="exact"/>
        <w:rPr>
          <w:sz w:val="70"/>
          <w:szCs w:val="70"/>
        </w:rPr>
      </w:pPr>
    </w:p>
    <w:p w:rsidR="00AA3536" w:rsidRDefault="00AA3536" w:rsidP="00AA3536">
      <w:pPr>
        <w:spacing w:line="640" w:lineRule="exact"/>
        <w:jc w:val="center"/>
        <w:rPr>
          <w:rFonts w:ascii="方正小标宋简体" w:eastAsia="方正小标宋简体"/>
          <w:sz w:val="42"/>
          <w:szCs w:val="42"/>
        </w:rPr>
      </w:pPr>
      <w:r w:rsidRPr="00AA3536">
        <w:rPr>
          <w:rFonts w:ascii="方正小标宋简体" w:eastAsia="方正小标宋简体" w:hint="eastAsia"/>
          <w:spacing w:val="97"/>
          <w:kern w:val="0"/>
          <w:sz w:val="42"/>
          <w:szCs w:val="42"/>
          <w:fitText w:val="4720" w:id="-1013176832"/>
        </w:rPr>
        <w:t>长治市生态环境</w:t>
      </w:r>
      <w:r w:rsidRPr="00AA3536">
        <w:rPr>
          <w:rFonts w:ascii="方正小标宋简体" w:eastAsia="方正小标宋简体" w:hint="eastAsia"/>
          <w:spacing w:val="1"/>
          <w:kern w:val="0"/>
          <w:sz w:val="42"/>
          <w:szCs w:val="42"/>
          <w:fitText w:val="4720" w:id="-1013176832"/>
        </w:rPr>
        <w:t>局</w:t>
      </w:r>
    </w:p>
    <w:p w:rsidR="00AA3536" w:rsidRDefault="00AA3536" w:rsidP="00AA3536">
      <w:pPr>
        <w:spacing w:line="640" w:lineRule="exact"/>
        <w:jc w:val="center"/>
        <w:rPr>
          <w:rFonts w:ascii="方正小标宋简体" w:eastAsia="方正小标宋简体"/>
          <w:sz w:val="42"/>
          <w:szCs w:val="42"/>
        </w:rPr>
      </w:pPr>
      <w:r w:rsidRPr="00AA3536">
        <w:rPr>
          <w:rFonts w:ascii="方正小标宋简体" w:eastAsia="方正小标宋简体" w:hint="eastAsia"/>
          <w:spacing w:val="220"/>
          <w:kern w:val="0"/>
          <w:sz w:val="42"/>
          <w:szCs w:val="42"/>
          <w:fitText w:val="4720" w:id="-1013176831"/>
        </w:rPr>
        <w:t>长治市水利</w:t>
      </w:r>
      <w:r w:rsidRPr="00AA3536">
        <w:rPr>
          <w:rFonts w:ascii="方正小标宋简体" w:eastAsia="方正小标宋简体" w:hint="eastAsia"/>
          <w:kern w:val="0"/>
          <w:sz w:val="42"/>
          <w:szCs w:val="42"/>
          <w:fitText w:val="4720" w:id="-1013176831"/>
        </w:rPr>
        <w:t>局</w:t>
      </w:r>
    </w:p>
    <w:p w:rsidR="00AA3536" w:rsidRDefault="00AA3536" w:rsidP="00AA3536">
      <w:pPr>
        <w:spacing w:line="640" w:lineRule="exact"/>
        <w:jc w:val="center"/>
        <w:rPr>
          <w:rFonts w:ascii="方正小标宋简体" w:eastAsia="方正小标宋简体"/>
          <w:kern w:val="0"/>
          <w:sz w:val="42"/>
          <w:szCs w:val="42"/>
        </w:rPr>
      </w:pPr>
      <w:r w:rsidRPr="00AA3536">
        <w:rPr>
          <w:rFonts w:ascii="方正小标宋简体" w:eastAsia="方正小标宋简体" w:hint="eastAsia"/>
          <w:spacing w:val="5"/>
          <w:kern w:val="0"/>
          <w:sz w:val="42"/>
          <w:szCs w:val="42"/>
          <w:fitText w:val="4720" w:id="-1013176830"/>
        </w:rPr>
        <w:t>长治市规划和自然资源</w:t>
      </w:r>
      <w:r w:rsidRPr="00AA3536">
        <w:rPr>
          <w:rFonts w:ascii="方正小标宋简体" w:eastAsia="方正小标宋简体" w:hint="eastAsia"/>
          <w:kern w:val="0"/>
          <w:sz w:val="42"/>
          <w:szCs w:val="42"/>
          <w:fitText w:val="4720" w:id="-1013176830"/>
        </w:rPr>
        <w:t>局</w:t>
      </w:r>
    </w:p>
    <w:p w:rsidR="00AA3536" w:rsidRDefault="00AA3536" w:rsidP="00AA3536">
      <w:pPr>
        <w:autoSpaceDE w:val="0"/>
        <w:autoSpaceDN w:val="0"/>
        <w:adjustRightInd w:val="0"/>
        <w:spacing w:line="640" w:lineRule="exact"/>
        <w:jc w:val="center"/>
        <w:rPr>
          <w:rFonts w:ascii="方正小标宋简体" w:eastAsia="方正小标宋简体"/>
          <w:kern w:val="0"/>
          <w:sz w:val="42"/>
          <w:szCs w:val="42"/>
        </w:rPr>
      </w:pPr>
      <w:r>
        <w:rPr>
          <w:rFonts w:ascii="方正小标宋简体" w:eastAsia="方正小标宋简体" w:hint="eastAsia"/>
          <w:kern w:val="0"/>
          <w:sz w:val="42"/>
          <w:szCs w:val="42"/>
        </w:rPr>
        <w:t>关于印发《长治市</w:t>
      </w:r>
      <w:r>
        <w:rPr>
          <w:rFonts w:ascii="方正小标宋简体" w:eastAsia="方正小标宋简体" w:cs="仿宋_GB2312" w:hint="eastAsia"/>
          <w:kern w:val="0"/>
          <w:sz w:val="42"/>
          <w:szCs w:val="42"/>
        </w:rPr>
        <w:t>地下水污染防治重点区划定方案</w:t>
      </w:r>
      <w:r>
        <w:rPr>
          <w:rFonts w:ascii="方正小标宋简体" w:eastAsia="方正小标宋简体" w:hint="eastAsia"/>
          <w:kern w:val="0"/>
          <w:sz w:val="42"/>
          <w:szCs w:val="42"/>
        </w:rPr>
        <w:t>》的通知</w:t>
      </w:r>
    </w:p>
    <w:p w:rsidR="00285955" w:rsidRPr="00285955" w:rsidRDefault="00285955" w:rsidP="00285955">
      <w:pPr>
        <w:autoSpaceDE w:val="0"/>
        <w:autoSpaceDN w:val="0"/>
        <w:adjustRightInd w:val="0"/>
        <w:spacing w:line="240" w:lineRule="exact"/>
        <w:jc w:val="center"/>
        <w:rPr>
          <w:rFonts w:ascii="方正小标宋简体" w:eastAsia="方正小标宋简体"/>
          <w:kern w:val="0"/>
          <w:sz w:val="10"/>
          <w:szCs w:val="10"/>
        </w:rPr>
      </w:pPr>
    </w:p>
    <w:p w:rsidR="005D4A50" w:rsidRDefault="005D4A50">
      <w:pPr>
        <w:spacing w:line="100" w:lineRule="exact"/>
      </w:pPr>
    </w:p>
    <w:p w:rsidR="005D4A50" w:rsidRDefault="00454DD4">
      <w:pPr>
        <w:autoSpaceDE w:val="0"/>
        <w:autoSpaceDN w:val="0"/>
        <w:adjustRightInd w:val="0"/>
        <w:jc w:val="left"/>
        <w:rPr>
          <w:rFonts w:ascii="仿宋_GB2312" w:eastAsia="仿宋_GB2312"/>
          <w:kern w:val="0"/>
          <w:sz w:val="32"/>
          <w:szCs w:val="32"/>
        </w:rPr>
      </w:pPr>
      <w:r>
        <w:rPr>
          <w:rFonts w:ascii="仿宋_GB2312" w:eastAsia="仿宋_GB2312" w:hint="eastAsia"/>
          <w:kern w:val="0"/>
          <w:sz w:val="32"/>
          <w:szCs w:val="32"/>
        </w:rPr>
        <w:t>各县（区）生态环境分局、水利局、自然资源局：</w:t>
      </w:r>
    </w:p>
    <w:p w:rsidR="005D4A50" w:rsidRDefault="00454DD4" w:rsidP="00285955">
      <w:pPr>
        <w:autoSpaceDE w:val="0"/>
        <w:autoSpaceDN w:val="0"/>
        <w:adjustRightInd w:val="0"/>
        <w:spacing w:line="660" w:lineRule="exact"/>
        <w:ind w:firstLineChars="200" w:firstLine="640"/>
        <w:jc w:val="left"/>
        <w:rPr>
          <w:rFonts w:ascii="仿宋_GB2312" w:eastAsia="仿宋_GB2312"/>
          <w:sz w:val="32"/>
          <w:szCs w:val="32"/>
        </w:rPr>
      </w:pPr>
      <w:r>
        <w:rPr>
          <w:rFonts w:ascii="仿宋_GB2312" w:eastAsia="仿宋_GB2312" w:cs="仿宋_GB2312" w:hint="eastAsia"/>
          <w:kern w:val="0"/>
          <w:sz w:val="32"/>
          <w:szCs w:val="32"/>
        </w:rPr>
        <w:t>为贯彻落实《地下水管理条例》相关要求，加强全市地下水环境分区管理、分级防治，依据</w:t>
      </w:r>
      <w:r>
        <w:rPr>
          <w:rFonts w:ascii="仿宋_GB2312" w:eastAsia="仿宋_GB2312" w:hint="eastAsia"/>
          <w:sz w:val="32"/>
          <w:szCs w:val="32"/>
        </w:rPr>
        <w:t>生态环境部办公厅、水利部办公厅、自然资源部办公厅《关于印发&lt;地下水污染防治重点区划定技术指南（试行）&gt;的通知》（环办土壤函</w:t>
      </w:r>
      <w:r>
        <w:rPr>
          <w:rFonts w:ascii="仿宋_GB2312" w:eastAsia="仿宋_GB2312" w:hAnsi="宋体" w:hint="eastAsia"/>
          <w:sz w:val="32"/>
          <w:szCs w:val="32"/>
        </w:rPr>
        <w:t>〔2023〕299号</w:t>
      </w:r>
      <w:r>
        <w:rPr>
          <w:rFonts w:ascii="仿宋_GB2312" w:eastAsia="仿宋_GB2312" w:hint="eastAsia"/>
          <w:sz w:val="32"/>
          <w:szCs w:val="32"/>
        </w:rPr>
        <w:t>），市生态环境局会同市水利局、市规划和自然资源局组织编制完</w:t>
      </w:r>
      <w:bookmarkStart w:id="0" w:name="_GoBack"/>
      <w:bookmarkEnd w:id="0"/>
      <w:r>
        <w:rPr>
          <w:rFonts w:ascii="仿宋_GB2312" w:eastAsia="仿宋_GB2312" w:hint="eastAsia"/>
          <w:sz w:val="32"/>
          <w:szCs w:val="32"/>
        </w:rPr>
        <w:t>成了《长治市地下水污染防治重点区划定方案》，现印发给你们，请认真遵照执行。</w:t>
      </w:r>
    </w:p>
    <w:p w:rsidR="005D4A50" w:rsidRDefault="005D4A50">
      <w:pPr>
        <w:autoSpaceDE w:val="0"/>
        <w:autoSpaceDN w:val="0"/>
        <w:adjustRightInd w:val="0"/>
        <w:jc w:val="left"/>
        <w:rPr>
          <w:rFonts w:ascii="仿宋_GB2312" w:eastAsia="仿宋_GB2312"/>
          <w:sz w:val="32"/>
          <w:szCs w:val="32"/>
        </w:rPr>
      </w:pPr>
    </w:p>
    <w:p w:rsidR="005D4A50" w:rsidRDefault="005D4A50">
      <w:pPr>
        <w:autoSpaceDE w:val="0"/>
        <w:autoSpaceDN w:val="0"/>
        <w:adjustRightInd w:val="0"/>
        <w:jc w:val="left"/>
        <w:rPr>
          <w:rFonts w:ascii="仿宋_GB2312" w:eastAsia="仿宋_GB2312"/>
          <w:sz w:val="32"/>
          <w:szCs w:val="32"/>
        </w:rPr>
      </w:pPr>
    </w:p>
    <w:p w:rsidR="005D4A50" w:rsidRDefault="005D4A50">
      <w:pPr>
        <w:autoSpaceDE w:val="0"/>
        <w:autoSpaceDN w:val="0"/>
        <w:adjustRightInd w:val="0"/>
        <w:jc w:val="left"/>
        <w:rPr>
          <w:rFonts w:ascii="仿宋_GB2312" w:eastAsia="仿宋_GB2312"/>
          <w:sz w:val="32"/>
          <w:szCs w:val="32"/>
        </w:rPr>
      </w:pPr>
    </w:p>
    <w:p w:rsidR="005D4A50" w:rsidRDefault="00454DD4" w:rsidP="00294A35">
      <w:pPr>
        <w:autoSpaceDE w:val="0"/>
        <w:autoSpaceDN w:val="0"/>
        <w:adjustRightInd w:val="0"/>
        <w:ind w:firstLineChars="250" w:firstLine="800"/>
        <w:jc w:val="left"/>
        <w:rPr>
          <w:rFonts w:ascii="仿宋_GB2312" w:eastAsia="仿宋_GB2312"/>
          <w:sz w:val="32"/>
          <w:szCs w:val="32"/>
        </w:rPr>
      </w:pPr>
      <w:r>
        <w:rPr>
          <w:rFonts w:ascii="仿宋_GB2312" w:eastAsia="仿宋_GB2312" w:hint="eastAsia"/>
          <w:sz w:val="32"/>
          <w:szCs w:val="32"/>
        </w:rPr>
        <w:t xml:space="preserve">长治市生态环境局           长治市水利局 </w:t>
      </w:r>
    </w:p>
    <w:p w:rsidR="005D4A50" w:rsidRDefault="005D4A50">
      <w:pPr>
        <w:autoSpaceDE w:val="0"/>
        <w:autoSpaceDN w:val="0"/>
        <w:adjustRightInd w:val="0"/>
        <w:jc w:val="left"/>
        <w:rPr>
          <w:rFonts w:ascii="仿宋_GB2312" w:eastAsia="仿宋_GB2312"/>
          <w:sz w:val="32"/>
          <w:szCs w:val="32"/>
        </w:rPr>
      </w:pPr>
    </w:p>
    <w:p w:rsidR="005D4A50" w:rsidRDefault="005D4A50">
      <w:pPr>
        <w:autoSpaceDE w:val="0"/>
        <w:autoSpaceDN w:val="0"/>
        <w:adjustRightInd w:val="0"/>
        <w:jc w:val="left"/>
        <w:rPr>
          <w:rFonts w:ascii="仿宋_GB2312" w:eastAsia="仿宋_GB2312"/>
          <w:sz w:val="32"/>
          <w:szCs w:val="32"/>
        </w:rPr>
      </w:pPr>
    </w:p>
    <w:p w:rsidR="005D4A50" w:rsidRDefault="00454DD4" w:rsidP="00294A35">
      <w:pPr>
        <w:autoSpaceDE w:val="0"/>
        <w:autoSpaceDN w:val="0"/>
        <w:adjustRightInd w:val="0"/>
        <w:ind w:firstLineChars="1400" w:firstLine="4480"/>
        <w:jc w:val="left"/>
        <w:rPr>
          <w:rFonts w:ascii="仿宋_GB2312" w:eastAsia="仿宋_GB2312"/>
          <w:sz w:val="32"/>
          <w:szCs w:val="32"/>
        </w:rPr>
      </w:pPr>
      <w:r>
        <w:rPr>
          <w:rFonts w:ascii="仿宋_GB2312" w:eastAsia="仿宋_GB2312" w:hint="eastAsia"/>
          <w:sz w:val="32"/>
          <w:szCs w:val="32"/>
        </w:rPr>
        <w:t>长治市规划和自然资源局</w:t>
      </w:r>
    </w:p>
    <w:p w:rsidR="005D4A50" w:rsidRDefault="00454DD4" w:rsidP="00294A35">
      <w:pPr>
        <w:autoSpaceDE w:val="0"/>
        <w:autoSpaceDN w:val="0"/>
        <w:adjustRightInd w:val="0"/>
        <w:ind w:firstLineChars="1600" w:firstLine="5120"/>
        <w:jc w:val="left"/>
      </w:pPr>
      <w:r>
        <w:rPr>
          <w:rFonts w:ascii="仿宋_GB2312" w:eastAsia="仿宋_GB2312" w:hint="eastAsia"/>
          <w:sz w:val="32"/>
          <w:szCs w:val="32"/>
        </w:rPr>
        <w:lastRenderedPageBreak/>
        <w:t>2023年12月</w:t>
      </w:r>
      <w:r w:rsidR="00294A35">
        <w:rPr>
          <w:rFonts w:ascii="仿宋_GB2312" w:eastAsia="仿宋_GB2312" w:hint="eastAsia"/>
          <w:sz w:val="32"/>
          <w:szCs w:val="32"/>
        </w:rPr>
        <w:t>25</w:t>
      </w:r>
      <w:r>
        <w:rPr>
          <w:rFonts w:ascii="仿宋_GB2312" w:eastAsia="仿宋_GB2312" w:hint="eastAsia"/>
          <w:sz w:val="32"/>
          <w:szCs w:val="32"/>
        </w:rPr>
        <w:t>日</w:t>
      </w:r>
    </w:p>
    <w:p w:rsidR="005D4A50" w:rsidRDefault="00454DD4">
      <w:pPr>
        <w:spacing w:line="600" w:lineRule="exact"/>
        <w:ind w:firstLineChars="200" w:firstLine="640"/>
        <w:rPr>
          <w:rFonts w:ascii="仿宋_GB2312" w:eastAsia="仿宋_GB2312"/>
          <w:sz w:val="32"/>
          <w:szCs w:val="32"/>
        </w:rPr>
      </w:pPr>
      <w:r>
        <w:rPr>
          <w:rFonts w:ascii="仿宋_GB2312" w:eastAsia="仿宋_GB2312" w:hint="eastAsia"/>
          <w:sz w:val="32"/>
          <w:szCs w:val="32"/>
        </w:rPr>
        <w:t>（此</w:t>
      </w:r>
      <w:r w:rsidR="00165564">
        <w:rPr>
          <w:rFonts w:ascii="仿宋_GB2312" w:eastAsia="仿宋_GB2312" w:hint="eastAsia"/>
          <w:sz w:val="32"/>
          <w:szCs w:val="32"/>
        </w:rPr>
        <w:t>件</w:t>
      </w:r>
      <w:r>
        <w:rPr>
          <w:rFonts w:ascii="仿宋_GB2312" w:eastAsia="仿宋_GB2312" w:hint="eastAsia"/>
          <w:sz w:val="32"/>
          <w:szCs w:val="32"/>
        </w:rPr>
        <w:t>公开</w:t>
      </w:r>
      <w:r w:rsidR="00165564">
        <w:rPr>
          <w:rFonts w:ascii="仿宋_GB2312" w:eastAsia="仿宋_GB2312" w:hint="eastAsia"/>
          <w:sz w:val="32"/>
          <w:szCs w:val="32"/>
        </w:rPr>
        <w:t>发布</w:t>
      </w:r>
      <w:r>
        <w:rPr>
          <w:rFonts w:ascii="仿宋_GB2312" w:eastAsia="仿宋_GB2312" w:hint="eastAsia"/>
          <w:sz w:val="32"/>
          <w:szCs w:val="32"/>
        </w:rPr>
        <w:t>)</w:t>
      </w:r>
    </w:p>
    <w:p w:rsidR="00847644" w:rsidRDefault="00847644">
      <w:pPr>
        <w:widowControl/>
        <w:jc w:val="left"/>
        <w:rPr>
          <w:rFonts w:ascii="仿宋_GB2312" w:eastAsia="仿宋_GB2312"/>
          <w:sz w:val="32"/>
          <w:szCs w:val="32"/>
        </w:rPr>
      </w:pPr>
      <w:r>
        <w:rPr>
          <w:rFonts w:ascii="仿宋_GB2312" w:eastAsia="仿宋_GB2312"/>
          <w:sz w:val="32"/>
          <w:szCs w:val="32"/>
        </w:rPr>
        <w:br w:type="page"/>
      </w:r>
    </w:p>
    <w:p w:rsidR="00847644" w:rsidRDefault="00847644" w:rsidP="00847644">
      <w:pPr>
        <w:jc w:val="center"/>
        <w:rPr>
          <w:rFonts w:ascii="方正小标宋简体" w:eastAsia="方正小标宋简体" w:hAnsi="方正小标宋简体" w:cs="方正小标宋简体"/>
          <w:sz w:val="40"/>
          <w:szCs w:val="40"/>
        </w:rPr>
      </w:pPr>
    </w:p>
    <w:p w:rsidR="00847644" w:rsidRDefault="00847644" w:rsidP="00ED3591">
      <w:pPr>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长治市地下水污染防治重点区划定方案</w:t>
      </w:r>
    </w:p>
    <w:p w:rsidR="00847644" w:rsidRDefault="00847644" w:rsidP="00ED3591">
      <w:pPr>
        <w:spacing w:line="580" w:lineRule="exact"/>
        <w:jc w:val="center"/>
        <w:rPr>
          <w:rFonts w:ascii="方正小标宋简体" w:eastAsia="方正小标宋简体" w:hAnsi="方正小标宋简体" w:cs="方正小标宋简体"/>
          <w:sz w:val="40"/>
          <w:szCs w:val="40"/>
        </w:rPr>
      </w:pP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为贯彻落实《地下水管理条例》相关要求，依据《</w:t>
      </w:r>
      <w:r>
        <w:rPr>
          <w:rFonts w:ascii="仿宋_GB2312" w:eastAsia="仿宋_GB2312" w:hint="eastAsia"/>
          <w:sz w:val="32"/>
          <w:szCs w:val="32"/>
        </w:rPr>
        <w:t>地下水污染防治重点区划定技术指南（试行）</w:t>
      </w:r>
      <w:r>
        <w:rPr>
          <w:rFonts w:ascii="仿宋_GB2312" w:eastAsia="仿宋_GB2312" w:hAnsi="仿宋_GB2312" w:cs="仿宋_GB2312" w:hint="eastAsia"/>
          <w:sz w:val="32"/>
          <w:szCs w:val="32"/>
        </w:rPr>
        <w:t>》</w:t>
      </w:r>
      <w:r>
        <w:rPr>
          <w:rFonts w:ascii="仿宋_GB2312" w:eastAsia="仿宋_GB2312" w:hint="eastAsia"/>
          <w:sz w:val="32"/>
          <w:szCs w:val="32"/>
        </w:rPr>
        <w:t>，</w:t>
      </w:r>
      <w:r>
        <w:rPr>
          <w:rFonts w:ascii="仿宋_GB2312" w:eastAsia="仿宋_GB2312" w:hAnsi="仿宋_GB2312" w:cs="仿宋_GB2312" w:hint="eastAsia"/>
          <w:sz w:val="32"/>
          <w:szCs w:val="32"/>
        </w:rPr>
        <w:t>结合我市实际，制定本方案。</w:t>
      </w:r>
    </w:p>
    <w:p w:rsidR="00847644" w:rsidRDefault="00847644" w:rsidP="00ED3591">
      <w:pPr>
        <w:pStyle w:val="1"/>
        <w:spacing w:line="600" w:lineRule="exact"/>
        <w:ind w:firstLine="640"/>
        <w:rPr>
          <w:rFonts w:ascii="黑体" w:eastAsia="黑体" w:hAnsi="黑体" w:cs="黑体"/>
          <w:b w:val="0"/>
          <w:bCs/>
          <w:sz w:val="32"/>
          <w:szCs w:val="32"/>
        </w:rPr>
      </w:pPr>
      <w:r>
        <w:rPr>
          <w:rFonts w:ascii="黑体" w:eastAsia="黑体" w:hAnsi="黑体" w:cs="黑体" w:hint="eastAsia"/>
          <w:b w:val="0"/>
          <w:bCs/>
          <w:sz w:val="32"/>
          <w:szCs w:val="32"/>
        </w:rPr>
        <w:t>一、划分原则</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长治市地下水污染防治重点区分为保护类区域和管控类区域。</w:t>
      </w:r>
    </w:p>
    <w:p w:rsidR="00847644" w:rsidRDefault="00847644" w:rsidP="00ED3591">
      <w:pPr>
        <w:spacing w:line="6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（一）保护类区域</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1.已获得批复的“千吨万人”及以上集中式饮用水水源一级保护区、二级保护区、准保护区及水源地补给区；</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2.辛安泉域重点保护区。</w:t>
      </w:r>
    </w:p>
    <w:p w:rsidR="00847644" w:rsidRDefault="00847644" w:rsidP="00ED3591">
      <w:pPr>
        <w:spacing w:line="6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（二）管控类区域</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长治市地下水富水性较高、水质较好、脆弱性较高的区域作为管控类区域。其中，污染荷载较高的区域作为一级管控区，其余管控类区域作为二级管控区。</w:t>
      </w:r>
    </w:p>
    <w:p w:rsidR="00847644" w:rsidRDefault="00847644" w:rsidP="00ED3591">
      <w:pPr>
        <w:pStyle w:val="1"/>
        <w:spacing w:line="600" w:lineRule="exact"/>
        <w:ind w:firstLine="640"/>
        <w:rPr>
          <w:rFonts w:ascii="黑体" w:eastAsia="黑体" w:hAnsi="黑体" w:cs="黑体"/>
          <w:b w:val="0"/>
          <w:bCs/>
          <w:sz w:val="32"/>
          <w:szCs w:val="32"/>
        </w:rPr>
      </w:pPr>
      <w:r>
        <w:rPr>
          <w:rFonts w:ascii="黑体" w:eastAsia="黑体" w:hAnsi="黑体" w:cs="黑体" w:hint="eastAsia"/>
          <w:b w:val="0"/>
          <w:bCs/>
          <w:sz w:val="32"/>
          <w:szCs w:val="32"/>
        </w:rPr>
        <w:t>二、分区结果</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长治市地下水保护类区域面积</w:t>
      </w:r>
      <w:r w:rsidRPr="00AF4952">
        <w:rPr>
          <w:rFonts w:ascii="仿宋_GB2312" w:eastAsia="仿宋_GB2312" w:hAnsi="仿宋_GB2312" w:cs="仿宋_GB2312" w:hint="eastAsia"/>
          <w:sz w:val="32"/>
          <w:szCs w:val="32"/>
        </w:rPr>
        <w:t>2332.12</w:t>
      </w:r>
      <w:r>
        <w:rPr>
          <w:rFonts w:ascii="仿宋_GB2312" w:eastAsia="仿宋_GB2312" w:hAnsi="仿宋_GB2312" w:cs="仿宋_GB2312" w:hint="eastAsia"/>
          <w:sz w:val="32"/>
          <w:szCs w:val="32"/>
        </w:rPr>
        <w:t>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，占全市</w:t>
      </w:r>
      <w:r w:rsidR="00294A35">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16.71%，其中“千吨万人”及以上集中式饮用水水源一级保护区面积6.8346km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，二级保护区面积40.8261km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，准保护区面积4.90km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，补给区2212.8422km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；辛安泉域重点保护区66km</w:t>
      </w:r>
      <w:r>
        <w:rPr>
          <w:rFonts w:ascii="仿宋_GB2312" w:eastAsia="仿宋_GB2312" w:hAnsi="仿宋_GB2312" w:cs="仿宋_GB2312" w:hint="eastAsia"/>
          <w:sz w:val="32"/>
          <w:szCs w:val="32"/>
          <w:vertAlign w:val="superscript"/>
        </w:rPr>
        <w:t>2</w:t>
      </w:r>
      <w:r>
        <w:rPr>
          <w:rFonts w:ascii="仿宋_GB2312" w:eastAsia="仿宋_GB2312" w:hAnsi="仿宋_GB2312" w:cs="仿宋_GB2312" w:hint="eastAsia"/>
          <w:sz w:val="32"/>
          <w:szCs w:val="32"/>
        </w:rPr>
        <w:t>。</w:t>
      </w:r>
    </w:p>
    <w:p w:rsidR="00847644" w:rsidRDefault="0016556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长治市地下水</w:t>
      </w:r>
      <w:r w:rsidR="00847644">
        <w:rPr>
          <w:rFonts w:ascii="仿宋_GB2312" w:eastAsia="仿宋_GB2312" w:hAnsi="仿宋_GB2312" w:cs="仿宋_GB2312" w:hint="eastAsia"/>
          <w:sz w:val="32"/>
          <w:szCs w:val="32"/>
        </w:rPr>
        <w:t>管控</w:t>
      </w:r>
      <w:r w:rsidR="00294A35">
        <w:rPr>
          <w:rFonts w:ascii="仿宋_GB2312" w:eastAsia="仿宋_GB2312" w:hAnsi="仿宋_GB2312" w:cs="仿宋_GB2312" w:hint="eastAsia"/>
          <w:sz w:val="32"/>
          <w:szCs w:val="32"/>
        </w:rPr>
        <w:t>类</w:t>
      </w:r>
      <w:r w:rsidR="00847644">
        <w:rPr>
          <w:rFonts w:ascii="仿宋_GB2312" w:eastAsia="仿宋_GB2312" w:hAnsi="仿宋_GB2312" w:cs="仿宋_GB2312" w:hint="eastAsia"/>
          <w:sz w:val="32"/>
          <w:szCs w:val="32"/>
        </w:rPr>
        <w:t>区域11片，面积347.02km</w:t>
      </w:r>
      <w:r w:rsidR="00847644">
        <w:rPr>
          <w:rFonts w:ascii="仿宋_GB2312" w:eastAsia="仿宋_GB2312" w:hAnsi="仿宋_GB2312" w:cs="仿宋_GB2312" w:hint="eastAsia"/>
          <w:sz w:val="32"/>
          <w:szCs w:val="32"/>
          <w:vertAlign w:val="superscript"/>
        </w:rPr>
        <w:t>2</w:t>
      </w:r>
      <w:r w:rsidR="00847644">
        <w:rPr>
          <w:rFonts w:ascii="仿宋_GB2312" w:eastAsia="仿宋_GB2312" w:hAnsi="仿宋_GB2312" w:cs="仿宋_GB2312" w:hint="eastAsia"/>
          <w:sz w:val="32"/>
          <w:szCs w:val="32"/>
        </w:rPr>
        <w:t>，占全市面积2.48%。其中一级管控区5片，面积66.92km</w:t>
      </w:r>
      <w:r w:rsidR="00847644">
        <w:rPr>
          <w:rFonts w:ascii="仿宋_GB2312" w:eastAsia="仿宋_GB2312" w:hAnsi="仿宋_GB2312" w:cs="仿宋_GB2312" w:hint="eastAsia"/>
          <w:sz w:val="32"/>
          <w:szCs w:val="32"/>
          <w:vertAlign w:val="superscript"/>
        </w:rPr>
        <w:t>2</w:t>
      </w:r>
      <w:r w:rsidR="00847644">
        <w:rPr>
          <w:rFonts w:ascii="仿宋_GB2312" w:eastAsia="仿宋_GB2312" w:hAnsi="仿宋_GB2312" w:cs="仿宋_GB2312" w:hint="eastAsia"/>
          <w:sz w:val="32"/>
          <w:szCs w:val="32"/>
        </w:rPr>
        <w:t>，占全市面积0.48%。二级管控区6片，面积280.10km</w:t>
      </w:r>
      <w:r w:rsidR="00847644">
        <w:rPr>
          <w:rFonts w:ascii="仿宋_GB2312" w:eastAsia="仿宋_GB2312" w:hAnsi="仿宋_GB2312" w:cs="仿宋_GB2312" w:hint="eastAsia"/>
          <w:sz w:val="32"/>
          <w:szCs w:val="32"/>
          <w:vertAlign w:val="superscript"/>
        </w:rPr>
        <w:t>2</w:t>
      </w:r>
      <w:r w:rsidR="00847644">
        <w:rPr>
          <w:rFonts w:ascii="仿宋_GB2312" w:eastAsia="仿宋_GB2312" w:hAnsi="仿宋_GB2312" w:cs="仿宋_GB2312" w:hint="eastAsia"/>
          <w:sz w:val="32"/>
          <w:szCs w:val="32"/>
        </w:rPr>
        <w:t>，占全市面积2.00%。</w:t>
      </w:r>
    </w:p>
    <w:p w:rsidR="00847644" w:rsidRDefault="00847644" w:rsidP="00ED3591">
      <w:pPr>
        <w:pStyle w:val="1"/>
        <w:spacing w:line="600" w:lineRule="exact"/>
        <w:ind w:firstLine="640"/>
        <w:rPr>
          <w:rFonts w:ascii="黑体" w:eastAsia="黑体" w:hAnsi="黑体" w:cs="黑体"/>
          <w:b w:val="0"/>
          <w:bCs/>
          <w:sz w:val="32"/>
          <w:szCs w:val="32"/>
        </w:rPr>
      </w:pPr>
      <w:r>
        <w:rPr>
          <w:rFonts w:ascii="黑体" w:eastAsia="黑体" w:hAnsi="黑体" w:cs="黑体" w:hint="eastAsia"/>
          <w:b w:val="0"/>
          <w:bCs/>
          <w:sz w:val="32"/>
          <w:szCs w:val="32"/>
        </w:rPr>
        <w:t>三、管理要求</w:t>
      </w:r>
    </w:p>
    <w:p w:rsidR="00847644" w:rsidRDefault="00847644" w:rsidP="00ED3591">
      <w:pPr>
        <w:spacing w:line="6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（一）保护类区域</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生态环境等部门要严格按照《中华人民共和国水污染防治法》、《地下水管理条例》、《山西省水污染防治条例》、《长治市漳河流域生态修复与保护条例》等法律法规，落实地下水型饮用水源保护区及准保护区相关要求。</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2.生态环境等部门要对地下水型饮用水水源保护区、补给区及供水单位周边区域的环境状况和污染风险进行调查评估工作，分析研判污染源污染风险，并制定相应的风险防范措施。</w:t>
      </w:r>
    </w:p>
    <w:p w:rsidR="00847644" w:rsidRDefault="00F10506"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47644">
        <w:rPr>
          <w:rFonts w:ascii="仿宋_GB2312" w:eastAsia="仿宋_GB2312" w:hAnsi="仿宋_GB2312" w:cs="仿宋_GB2312" w:hint="eastAsia"/>
          <w:sz w:val="32"/>
          <w:szCs w:val="32"/>
        </w:rPr>
        <w:t>.推进辛安泉域重点保护区水生态修复综合治理，</w:t>
      </w:r>
      <w:r>
        <w:rPr>
          <w:rFonts w:ascii="仿宋_GB2312" w:eastAsia="仿宋_GB2312" w:hAnsi="仿宋_GB2312" w:cs="仿宋_GB2312" w:hint="eastAsia"/>
          <w:sz w:val="32"/>
          <w:szCs w:val="32"/>
        </w:rPr>
        <w:t>泉域内不再新增岩溶地下水取水，对确需使用岩溶水用于居民生活用水的，应严格审查</w:t>
      </w:r>
      <w:r w:rsidR="00847644">
        <w:rPr>
          <w:rFonts w:ascii="仿宋_GB2312" w:eastAsia="仿宋_GB2312" w:hAnsi="仿宋_GB2312" w:cs="仿宋_GB2312" w:hint="eastAsia"/>
          <w:sz w:val="32"/>
          <w:szCs w:val="32"/>
        </w:rPr>
        <w:t>。加强辛安</w:t>
      </w:r>
      <w:r>
        <w:rPr>
          <w:rFonts w:ascii="仿宋_GB2312" w:eastAsia="仿宋_GB2312" w:hAnsi="仿宋_GB2312" w:cs="仿宋_GB2312" w:hint="eastAsia"/>
          <w:sz w:val="32"/>
          <w:szCs w:val="32"/>
        </w:rPr>
        <w:t>泉</w:t>
      </w:r>
      <w:r w:rsidR="00847644">
        <w:rPr>
          <w:rFonts w:ascii="仿宋_GB2312" w:eastAsia="仿宋_GB2312" w:hAnsi="仿宋_GB2312" w:cs="仿宋_GB2312" w:hint="eastAsia"/>
          <w:sz w:val="32"/>
          <w:szCs w:val="32"/>
        </w:rPr>
        <w:t>域地下水动态监测和研究。</w:t>
      </w:r>
    </w:p>
    <w:p w:rsidR="00847644" w:rsidRDefault="00847644" w:rsidP="00ED3591">
      <w:pPr>
        <w:spacing w:line="60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（二）管控类区域</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1.生态环境部门会同水利、自然资源等部门加强地下水污染防治监督管理工作。</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2.生态环境部门要加强对退役焦化企业地块环境监管，依法依规督促责任主体开展土壤和地下水环境调查与风险</w:t>
      </w:r>
      <w:r>
        <w:rPr>
          <w:rFonts w:ascii="仿宋_GB2312" w:eastAsia="仿宋_GB2312" w:hAnsi="仿宋_GB2312" w:cs="仿宋_GB2312" w:hint="eastAsia"/>
          <w:sz w:val="32"/>
          <w:szCs w:val="32"/>
        </w:rPr>
        <w:lastRenderedPageBreak/>
        <w:t>评估工作；逐步开展闭坑老窑水污染调查工作，摸清老窑水风险隐患。</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3.生态环境部门要定期开展地下水污染状况调查，完善地下水监测点，加强地下水监测，组织开展地下水环境质量考核。</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管控区内污染源运营、管理单位应强化地下水污染防渗和监测。生态环境部门要强化污染源的土壤和地下水环境监测。一级管控区内重点污染源要严格按照《工业企业土壤和地下水自行监测技术指南（试行）》，开展土壤和地下水自行监测，视情况加密监测；二级管控区重点污染源按要求开展土壤和地下水自行监测。加强土壤和地下水污染隐患排查，一级管控区重点污染源每2年至少开展一次渗漏排查，二级管控区重点污染源按《重点监管单位土壤污染隐患排查指南（试行）》要求开展，发现渗漏的及时采取防渗改造，发现污染隐患的应当制定整改方案，及时采取有效措施消除隐患，必要时开展土壤和地下水环境调查与风险评估，根据评估结果采取风险管控或修复措施。</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5.对管控区内新、改、扩建可能涉及地下水污染的项目，严格按照《环境影响评价技术导则地下水环境》要求执行。</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6.列入污染地块名录、建设用地土壤污染风险管控和修复名录的地块责任主体，应按照《中华人民共和国土壤污染防治法》等法律法规要求，实施土壤污染风险管控和修复相关活动。</w:t>
      </w:r>
    </w:p>
    <w:p w:rsidR="00847644" w:rsidRDefault="00ED3591" w:rsidP="00ED3591">
      <w:pPr>
        <w:pStyle w:val="1"/>
        <w:spacing w:line="600" w:lineRule="exact"/>
        <w:ind w:firstLine="640"/>
        <w:rPr>
          <w:rFonts w:ascii="黑体" w:eastAsia="黑体" w:hAnsi="黑体" w:cs="黑体"/>
          <w:b w:val="0"/>
          <w:bCs/>
          <w:sz w:val="32"/>
          <w:szCs w:val="32"/>
        </w:rPr>
      </w:pPr>
      <w:r>
        <w:rPr>
          <w:rFonts w:ascii="黑体" w:eastAsia="黑体" w:hAnsi="黑体" w:cs="黑体" w:hint="eastAsia"/>
          <w:b w:val="0"/>
          <w:bCs/>
          <w:sz w:val="32"/>
          <w:szCs w:val="32"/>
        </w:rPr>
        <w:lastRenderedPageBreak/>
        <w:t>四</w:t>
      </w:r>
      <w:r w:rsidR="00847644">
        <w:rPr>
          <w:rFonts w:ascii="黑体" w:eastAsia="黑体" w:hAnsi="黑体" w:cs="黑体" w:hint="eastAsia"/>
          <w:b w:val="0"/>
          <w:bCs/>
          <w:sz w:val="32"/>
          <w:szCs w:val="32"/>
        </w:rPr>
        <w:t>、相关说明</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E7D9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《长治市地下水污染防治重点区划定方案》作为长治市地下水污染防治管理依据，根据具体实施情况适时进行调整。</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2.水源地保护区、辛安泉域重点区依法划定、调整、废止造成范围调整的，地下水污染防治保护区域范围相应调整。</w:t>
      </w: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3.针对新增地下水污染或其他风险源定期开展调查评估，发现地下水质量存在恶化趋势的，将对重点区进行及时增补和更新。</w:t>
      </w:r>
    </w:p>
    <w:p w:rsidR="00847644" w:rsidRDefault="00847644" w:rsidP="00ED3591">
      <w:pPr>
        <w:spacing w:line="600" w:lineRule="exact"/>
      </w:pPr>
    </w:p>
    <w:p w:rsidR="00847644" w:rsidRDefault="00847644" w:rsidP="00ED3591">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附件：1.长治市地下水一级管控区重点污染源清单</w:t>
      </w:r>
    </w:p>
    <w:p w:rsidR="00847644" w:rsidRDefault="00847644" w:rsidP="00ED3591">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2.长治市地下水污染防治重点区分布图</w:t>
      </w:r>
    </w:p>
    <w:p w:rsidR="00847644" w:rsidRDefault="00847644" w:rsidP="00ED3591">
      <w:pPr>
        <w:spacing w:line="580" w:lineRule="exact"/>
        <w:ind w:firstLine="560"/>
      </w:pPr>
    </w:p>
    <w:p w:rsidR="00847644" w:rsidRDefault="00847644" w:rsidP="00ED3591">
      <w:pPr>
        <w:spacing w:line="580" w:lineRule="exact"/>
        <w:ind w:firstLine="560"/>
      </w:pPr>
    </w:p>
    <w:p w:rsidR="00847644" w:rsidRDefault="00847644" w:rsidP="00ED3591">
      <w:pPr>
        <w:spacing w:line="580" w:lineRule="exact"/>
        <w:ind w:firstLine="560"/>
      </w:pPr>
    </w:p>
    <w:p w:rsidR="00ED3591" w:rsidRDefault="00ED3591" w:rsidP="00ED3591">
      <w:pPr>
        <w:spacing w:line="580" w:lineRule="exact"/>
        <w:ind w:firstLine="560"/>
      </w:pPr>
    </w:p>
    <w:p w:rsidR="00ED3591" w:rsidRDefault="00ED3591" w:rsidP="00ED3591">
      <w:pPr>
        <w:spacing w:line="580" w:lineRule="exact"/>
        <w:ind w:firstLine="560"/>
      </w:pPr>
    </w:p>
    <w:p w:rsidR="00ED3591" w:rsidRDefault="00ED3591" w:rsidP="00ED3591">
      <w:pPr>
        <w:spacing w:line="580" w:lineRule="exact"/>
        <w:ind w:firstLine="560"/>
      </w:pPr>
    </w:p>
    <w:p w:rsidR="00016D57" w:rsidRDefault="00016D57" w:rsidP="00ED3591">
      <w:pPr>
        <w:spacing w:line="580" w:lineRule="exact"/>
        <w:ind w:firstLine="560"/>
      </w:pPr>
    </w:p>
    <w:p w:rsidR="00ED3591" w:rsidRDefault="00ED3591" w:rsidP="00ED3591">
      <w:pPr>
        <w:spacing w:line="580" w:lineRule="exact"/>
        <w:ind w:firstLine="560"/>
      </w:pPr>
    </w:p>
    <w:p w:rsidR="00ED3591" w:rsidRDefault="00ED3591" w:rsidP="00ED3591">
      <w:pPr>
        <w:spacing w:line="580" w:lineRule="exact"/>
        <w:ind w:firstLine="560"/>
      </w:pPr>
    </w:p>
    <w:p w:rsidR="00847644" w:rsidRDefault="00847644" w:rsidP="00847644">
      <w:pPr>
        <w:pStyle w:val="2"/>
        <w:jc w:val="both"/>
        <w:rPr>
          <w:rFonts w:ascii="黑体" w:hAnsi="黑体" w:cs="黑体"/>
          <w:sz w:val="28"/>
          <w:szCs w:val="36"/>
        </w:rPr>
      </w:pPr>
      <w:r>
        <w:rPr>
          <w:rFonts w:ascii="黑体" w:hAnsi="黑体" w:cs="黑体" w:hint="eastAsia"/>
          <w:sz w:val="28"/>
          <w:szCs w:val="36"/>
        </w:rPr>
        <w:lastRenderedPageBreak/>
        <w:t xml:space="preserve">附件1 </w:t>
      </w:r>
    </w:p>
    <w:p w:rsidR="00847644" w:rsidRDefault="00847644" w:rsidP="00847644">
      <w:pPr>
        <w:pStyle w:val="2"/>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rPr>
        <w:t>长治市地下水一级管控区重点污染源清单</w:t>
      </w:r>
    </w:p>
    <w:tbl>
      <w:tblPr>
        <w:tblStyle w:val="a5"/>
        <w:tblW w:w="8522" w:type="dxa"/>
        <w:tblLayout w:type="fixed"/>
        <w:tblLook w:val="04A0"/>
      </w:tblPr>
      <w:tblGrid>
        <w:gridCol w:w="887"/>
        <w:gridCol w:w="2040"/>
        <w:gridCol w:w="795"/>
        <w:gridCol w:w="735"/>
        <w:gridCol w:w="4065"/>
      </w:tblGrid>
      <w:tr w:rsidR="00847644" w:rsidTr="00EE05A6">
        <w:trPr>
          <w:trHeight w:val="153"/>
          <w:tblHeader/>
        </w:trPr>
        <w:tc>
          <w:tcPr>
            <w:tcW w:w="887"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行政区</w:t>
            </w:r>
          </w:p>
        </w:tc>
        <w:tc>
          <w:tcPr>
            <w:tcW w:w="2040"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一级管控区名称</w:t>
            </w:r>
          </w:p>
        </w:tc>
        <w:tc>
          <w:tcPr>
            <w:tcW w:w="795"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管控区编号</w:t>
            </w:r>
          </w:p>
        </w:tc>
        <w:tc>
          <w:tcPr>
            <w:tcW w:w="4800" w:type="dxa"/>
            <w:gridSpan w:val="2"/>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主要污染源场地</w:t>
            </w:r>
          </w:p>
        </w:tc>
      </w:tr>
      <w:tr w:rsidR="00847644" w:rsidTr="00EE05A6">
        <w:trPr>
          <w:trHeight w:val="153"/>
          <w:tblHeader/>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序号</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场地名称</w:t>
            </w:r>
          </w:p>
        </w:tc>
      </w:tr>
      <w:tr w:rsidR="00847644" w:rsidTr="00EE05A6">
        <w:trPr>
          <w:trHeight w:val="71"/>
        </w:trPr>
        <w:tc>
          <w:tcPr>
            <w:tcW w:w="887"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潞城区</w:t>
            </w:r>
          </w:p>
        </w:tc>
        <w:tc>
          <w:tcPr>
            <w:tcW w:w="2040"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潞城经济技术开发区地下水污染管控区</w:t>
            </w:r>
          </w:p>
        </w:tc>
        <w:tc>
          <w:tcPr>
            <w:tcW w:w="795"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GK-1</w:t>
            </w: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山西润恒化工有限公司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2</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潞城市潞安焦化有限公司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3</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山西潞安焦化有限责任公司（一分厂）</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4</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山西潞安焦化有限责任公司（二分厂）</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5</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山西天脊潞安化工有限公司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6</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山西潞安环能五阳弘峰焦化有限公司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7</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山西潞宝晋钢兆丰煤化工有限公司</w:t>
            </w:r>
          </w:p>
        </w:tc>
      </w:tr>
      <w:tr w:rsidR="00847644" w:rsidTr="00EE05A6">
        <w:trPr>
          <w:trHeight w:val="287"/>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8</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山西潞宝集团天地精煤有限公司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9</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山西潞安环能煤焦化工有限责任公司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10</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山西建滔潞宝化工有限责任公司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11</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山西潞宝兴海新材料有限公司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12</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山西长治钢城实业总公司焦化分公司</w:t>
            </w:r>
          </w:p>
        </w:tc>
      </w:tr>
      <w:tr w:rsidR="00847644" w:rsidTr="00EE05A6">
        <w:trPr>
          <w:trHeight w:val="71"/>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13</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长治市博奇环保科技有限公司</w:t>
            </w:r>
          </w:p>
        </w:tc>
      </w:tr>
      <w:tr w:rsidR="00847644" w:rsidTr="00EE05A6">
        <w:trPr>
          <w:trHeight w:val="154"/>
        </w:trPr>
        <w:tc>
          <w:tcPr>
            <w:tcW w:w="887"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沁源县</w:t>
            </w:r>
          </w:p>
        </w:tc>
        <w:tc>
          <w:tcPr>
            <w:tcW w:w="2040"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沁源经济技术开发区一带地下水污染管控区</w:t>
            </w:r>
          </w:p>
        </w:tc>
        <w:tc>
          <w:tcPr>
            <w:tcW w:w="795"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GK-2</w:t>
            </w: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山西通洲集团晋杨煤业</w:t>
            </w:r>
          </w:p>
        </w:tc>
      </w:tr>
      <w:tr w:rsidR="00847644" w:rsidTr="00EE05A6">
        <w:trPr>
          <w:trHeight w:val="15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2</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山西通洲集团锦能焦化有限公司</w:t>
            </w:r>
          </w:p>
        </w:tc>
      </w:tr>
      <w:tr w:rsidR="00847644" w:rsidTr="00EE05A6">
        <w:trPr>
          <w:trHeight w:val="15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3</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山西通洲煤焦集团股份有限公司兴盛洗煤分公司</w:t>
            </w:r>
          </w:p>
        </w:tc>
      </w:tr>
      <w:tr w:rsidR="00847644" w:rsidTr="00EE05A6">
        <w:trPr>
          <w:trHeight w:val="15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4</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山西通洲集团兴茂煤化有限公司</w:t>
            </w:r>
          </w:p>
        </w:tc>
      </w:tr>
      <w:tr w:rsidR="00847644" w:rsidTr="00EE05A6">
        <w:trPr>
          <w:trHeight w:val="15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5</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山西通洲集团兴益化工有限公司</w:t>
            </w:r>
          </w:p>
        </w:tc>
      </w:tr>
      <w:tr w:rsidR="00847644" w:rsidTr="00EE05A6">
        <w:trPr>
          <w:trHeight w:val="15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6</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山西祥源新型煤化工有限公司</w:t>
            </w:r>
          </w:p>
        </w:tc>
      </w:tr>
      <w:tr w:rsidR="00847644" w:rsidTr="00EE05A6">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沁源县郭道镇沁河河谷地下水污染管控区</w:t>
            </w:r>
          </w:p>
        </w:tc>
        <w:tc>
          <w:tcPr>
            <w:tcW w:w="79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GK-3</w:t>
            </w: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山西明源能源焦化厂</w:t>
            </w:r>
          </w:p>
        </w:tc>
      </w:tr>
      <w:tr w:rsidR="00847644" w:rsidTr="00EE05A6">
        <w:trPr>
          <w:trHeight w:val="102"/>
        </w:trPr>
        <w:tc>
          <w:tcPr>
            <w:tcW w:w="887"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襄垣县</w:t>
            </w:r>
          </w:p>
        </w:tc>
        <w:tc>
          <w:tcPr>
            <w:tcW w:w="2040"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王桥工业园区一带地下水污染管控区</w:t>
            </w:r>
          </w:p>
        </w:tc>
        <w:tc>
          <w:tcPr>
            <w:tcW w:w="795"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GK-4</w:t>
            </w: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山西潞安煤基清洁能源有限责任公司</w:t>
            </w:r>
          </w:p>
        </w:tc>
      </w:tr>
      <w:tr w:rsidR="00847644" w:rsidTr="00EE05A6">
        <w:trPr>
          <w:trHeight w:val="102"/>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2</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胜科(长治)水务有限公司</w:t>
            </w:r>
          </w:p>
        </w:tc>
      </w:tr>
      <w:tr w:rsidR="00847644" w:rsidTr="00EE05A6">
        <w:trPr>
          <w:trHeight w:val="102"/>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3</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山西潞安天达新能源技术有限公司</w:t>
            </w:r>
          </w:p>
        </w:tc>
      </w:tr>
      <w:tr w:rsidR="00847644" w:rsidTr="00EE05A6">
        <w:trPr>
          <w:trHeight w:val="102"/>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4</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山西潞安特种溶剂化学品有限公司</w:t>
            </w:r>
          </w:p>
        </w:tc>
      </w:tr>
      <w:tr w:rsidR="00847644" w:rsidTr="00EE05A6">
        <w:trPr>
          <w:trHeight w:val="102"/>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5</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山西襄矿泓通煤化工有限公司</w:t>
            </w:r>
          </w:p>
        </w:tc>
      </w:tr>
      <w:tr w:rsidR="00847644" w:rsidTr="00EE05A6">
        <w:trPr>
          <w:trHeight w:val="102"/>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6</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金鼎钢铁集团煤焦化有限公司</w:t>
            </w:r>
          </w:p>
        </w:tc>
      </w:tr>
      <w:tr w:rsidR="00847644" w:rsidTr="00EE05A6">
        <w:trPr>
          <w:trHeight w:val="104"/>
        </w:trPr>
        <w:tc>
          <w:tcPr>
            <w:tcW w:w="887"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潞州区</w:t>
            </w:r>
          </w:p>
        </w:tc>
        <w:tc>
          <w:tcPr>
            <w:tcW w:w="2040"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漳泽水库北部地下水污染管控区</w:t>
            </w:r>
          </w:p>
        </w:tc>
        <w:tc>
          <w:tcPr>
            <w:tcW w:w="795" w:type="dxa"/>
            <w:vMerge w:val="restart"/>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GK-5</w:t>
            </w: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1</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首钢长治钢铁有限公司</w:t>
            </w:r>
          </w:p>
        </w:tc>
      </w:tr>
      <w:tr w:rsidR="00847644" w:rsidTr="00EE05A6">
        <w:trPr>
          <w:trHeight w:val="10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2</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长治市煤气化总公司</w:t>
            </w:r>
          </w:p>
        </w:tc>
      </w:tr>
      <w:tr w:rsidR="00847644" w:rsidTr="00EE05A6">
        <w:trPr>
          <w:trHeight w:val="104"/>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3</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山西长信工业有限公司</w:t>
            </w:r>
          </w:p>
        </w:tc>
      </w:tr>
      <w:tr w:rsidR="00847644" w:rsidTr="00EE05A6">
        <w:trPr>
          <w:trHeight w:val="225"/>
        </w:trPr>
        <w:tc>
          <w:tcPr>
            <w:tcW w:w="887" w:type="dxa"/>
            <w:vMerge/>
            <w:vAlign w:val="center"/>
          </w:tcPr>
          <w:p w:rsidR="00847644" w:rsidRDefault="00847644" w:rsidP="00EE05A6">
            <w:pPr>
              <w:pStyle w:val="a6"/>
              <w:rPr>
                <w:rFonts w:ascii="仿宋_GB2312" w:eastAsia="仿宋_GB2312" w:hAnsi="仿宋_GB2312" w:cs="仿宋_GB2312"/>
              </w:rPr>
            </w:pPr>
          </w:p>
        </w:tc>
        <w:tc>
          <w:tcPr>
            <w:tcW w:w="2040" w:type="dxa"/>
            <w:vMerge/>
            <w:vAlign w:val="center"/>
          </w:tcPr>
          <w:p w:rsidR="00847644" w:rsidRDefault="00847644" w:rsidP="00EE05A6">
            <w:pPr>
              <w:pStyle w:val="a6"/>
              <w:rPr>
                <w:rFonts w:ascii="仿宋_GB2312" w:eastAsia="仿宋_GB2312" w:hAnsi="仿宋_GB2312" w:cs="仿宋_GB2312"/>
              </w:rPr>
            </w:pPr>
          </w:p>
        </w:tc>
        <w:tc>
          <w:tcPr>
            <w:tcW w:w="795" w:type="dxa"/>
            <w:vMerge/>
            <w:vAlign w:val="center"/>
          </w:tcPr>
          <w:p w:rsidR="00847644" w:rsidRDefault="00847644" w:rsidP="00EE05A6">
            <w:pPr>
              <w:pStyle w:val="a6"/>
              <w:rPr>
                <w:rFonts w:ascii="仿宋_GB2312" w:eastAsia="仿宋_GB2312" w:hAnsi="仿宋_GB2312" w:cs="仿宋_GB2312"/>
              </w:rPr>
            </w:pPr>
          </w:p>
        </w:tc>
        <w:tc>
          <w:tcPr>
            <w:tcW w:w="73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4</w:t>
            </w:r>
          </w:p>
        </w:tc>
        <w:tc>
          <w:tcPr>
            <w:tcW w:w="4065" w:type="dxa"/>
            <w:vAlign w:val="center"/>
          </w:tcPr>
          <w:p w:rsidR="00847644" w:rsidRDefault="00847644" w:rsidP="00EE05A6">
            <w:pPr>
              <w:pStyle w:val="a6"/>
              <w:rPr>
                <w:rFonts w:ascii="仿宋_GB2312" w:eastAsia="仿宋_GB2312" w:hAnsi="仿宋_GB2312" w:cs="仿宋_GB2312"/>
              </w:rPr>
            </w:pPr>
            <w:r>
              <w:rPr>
                <w:rFonts w:ascii="仿宋_GB2312" w:eastAsia="仿宋_GB2312" w:hAnsi="仿宋_GB2312" w:cs="仿宋_GB2312" w:hint="eastAsia"/>
              </w:rPr>
              <w:t>长治市长源焦化有限公司</w:t>
            </w:r>
          </w:p>
        </w:tc>
      </w:tr>
    </w:tbl>
    <w:p w:rsidR="00847644" w:rsidRDefault="00847644" w:rsidP="00847644">
      <w:pPr>
        <w:ind w:firstLine="560"/>
      </w:pPr>
    </w:p>
    <w:p w:rsidR="00847644" w:rsidRDefault="00847644" w:rsidP="00847644">
      <w:pPr>
        <w:ind w:firstLine="560"/>
        <w:sectPr w:rsidR="00847644">
          <w:headerReference w:type="even" r:id="rId7"/>
          <w:headerReference w:type="default" r:id="rId8"/>
          <w:footerReference w:type="even" r:id="rId9"/>
          <w:headerReference w:type="first" r:id="rId10"/>
          <w:footerReference w:type="first" r:id="rId11"/>
          <w:pgSz w:w="11906" w:h="16838"/>
          <w:pgMar w:top="1440" w:right="1800" w:bottom="1440" w:left="1800" w:header="851" w:footer="992" w:gutter="0"/>
          <w:pgNumType w:fmt="numberInDash" w:start="1"/>
          <w:cols w:space="425"/>
          <w:docGrid w:type="lines" w:linePitch="312"/>
        </w:sectPr>
      </w:pPr>
    </w:p>
    <w:p w:rsidR="00847644" w:rsidRDefault="00847644" w:rsidP="00847644">
      <w:pPr>
        <w:pStyle w:val="2"/>
        <w:jc w:val="both"/>
        <w:rPr>
          <w:sz w:val="28"/>
          <w:szCs w:val="36"/>
        </w:rPr>
      </w:pPr>
      <w:r>
        <w:rPr>
          <w:rFonts w:hint="eastAsia"/>
          <w:sz w:val="28"/>
          <w:szCs w:val="36"/>
        </w:rPr>
        <w:lastRenderedPageBreak/>
        <w:t>附件</w:t>
      </w:r>
      <w:r>
        <w:rPr>
          <w:rFonts w:hint="eastAsia"/>
          <w:sz w:val="28"/>
          <w:szCs w:val="36"/>
        </w:rPr>
        <w:t xml:space="preserve">2 </w:t>
      </w:r>
    </w:p>
    <w:p w:rsidR="00847644" w:rsidRDefault="00847644" w:rsidP="00847644">
      <w:pPr>
        <w:keepNext/>
        <w:keepLines/>
        <w:jc w:val="center"/>
      </w:pPr>
    </w:p>
    <w:p w:rsidR="00847644" w:rsidRDefault="00847644" w:rsidP="00847644">
      <w:pPr>
        <w:keepNext/>
        <w:keepLines/>
        <w:jc w:val="center"/>
      </w:pPr>
      <w:r>
        <w:rPr>
          <w:noProof/>
        </w:rPr>
        <w:drawing>
          <wp:anchor distT="0" distB="0" distL="114300" distR="114300" simplePos="0" relativeHeight="251661312" behindDoc="0" locked="0" layoutInCell="1" allowOverlap="1">
            <wp:simplePos x="0" y="0"/>
            <wp:positionH relativeFrom="column">
              <wp:posOffset>2605405</wp:posOffset>
            </wp:positionH>
            <wp:positionV relativeFrom="paragraph">
              <wp:posOffset>133985</wp:posOffset>
            </wp:positionV>
            <wp:extent cx="8450580" cy="7146290"/>
            <wp:effectExtent l="19050" t="0" r="7620" b="0"/>
            <wp:wrapNone/>
            <wp:docPr id="2" name="图片 1" descr="cc325b883f2f6983edb10e96473c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325b883f2f6983edb10e96473cde5"/>
                    <pic:cNvPicPr>
                      <a:picLocks noChangeAspect="1"/>
                    </pic:cNvPicPr>
                  </pic:nvPicPr>
                  <pic:blipFill>
                    <a:blip r:embed="rId12" cstate="print"/>
                    <a:stretch>
                      <a:fillRect/>
                    </a:stretch>
                  </pic:blipFill>
                  <pic:spPr>
                    <a:xfrm>
                      <a:off x="0" y="0"/>
                      <a:ext cx="8450580" cy="7146290"/>
                    </a:xfrm>
                    <a:prstGeom prst="rect">
                      <a:avLst/>
                    </a:prstGeom>
                  </pic:spPr>
                </pic:pic>
              </a:graphicData>
            </a:graphic>
          </wp:anchor>
        </w:drawing>
      </w:r>
    </w:p>
    <w:p w:rsidR="00847644" w:rsidRDefault="00847644" w:rsidP="00847644">
      <w:pPr>
        <w:keepNext/>
        <w:keepLines/>
        <w:jc w:val="center"/>
      </w:pPr>
    </w:p>
    <w:p w:rsidR="00847644" w:rsidRDefault="00847644" w:rsidP="00847644">
      <w:pPr>
        <w:keepNext/>
        <w:keepLines/>
        <w:jc w:val="cente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szCs w:val="36"/>
        </w:rPr>
      </w:pPr>
    </w:p>
    <w:p w:rsidR="00847644" w:rsidRDefault="00847644" w:rsidP="00847644">
      <w:pPr>
        <w:keepNext/>
        <w:keepLines/>
        <w:jc w:val="center"/>
        <w:rPr>
          <w:rFonts w:ascii="宋体" w:eastAsia="宋体" w:hAnsi="宋体"/>
          <w:sz w:val="28"/>
          <w:szCs w:val="28"/>
        </w:rPr>
      </w:pPr>
      <w:r w:rsidRPr="00847644">
        <w:rPr>
          <w:rFonts w:ascii="宋体" w:eastAsia="宋体" w:hAnsi="宋体" w:hint="eastAsia"/>
          <w:sz w:val="28"/>
          <w:szCs w:val="28"/>
        </w:rPr>
        <w:t>长治市地下水污染防治重点区分布图</w:t>
      </w:r>
    </w:p>
    <w:p w:rsidR="00165564" w:rsidRDefault="00165564" w:rsidP="00847644">
      <w:pPr>
        <w:keepNext/>
        <w:keepLines/>
        <w:jc w:val="center"/>
        <w:rPr>
          <w:rFonts w:ascii="仿宋_GB2312" w:eastAsia="仿宋_GB2312"/>
          <w:sz w:val="32"/>
          <w:szCs w:val="32"/>
        </w:rPr>
        <w:sectPr w:rsidR="00165564" w:rsidSect="00847644">
          <w:footerReference w:type="default" r:id="rId13"/>
          <w:pgSz w:w="23814" w:h="16840" w:orient="landscape" w:code="8"/>
          <w:pgMar w:top="1633" w:right="1588" w:bottom="1633" w:left="1270" w:header="851" w:footer="737" w:gutter="0"/>
          <w:pgNumType w:fmt="numberInDash"/>
          <w:cols w:space="0"/>
          <w:docGrid w:type="lines" w:linePitch="320"/>
        </w:sect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p w:rsidR="00165564" w:rsidRDefault="00165564" w:rsidP="00847644">
      <w:pPr>
        <w:keepNext/>
        <w:keepLines/>
        <w:jc w:val="center"/>
        <w:rPr>
          <w:rFonts w:ascii="仿宋_GB2312" w:eastAsia="仿宋_GB2312"/>
          <w:sz w:val="32"/>
          <w:szCs w:val="32"/>
        </w:rPr>
      </w:pPr>
    </w:p>
    <w:sectPr w:rsidR="00165564" w:rsidSect="00165564">
      <w:pgSz w:w="11907" w:h="16840" w:code="9"/>
      <w:pgMar w:top="1270" w:right="1633" w:bottom="1588" w:left="1633" w:header="851" w:footer="737" w:gutter="0"/>
      <w:pgNumType w:fmt="numberInDash"/>
      <w:cols w:space="0"/>
      <w:docGrid w:type="linesAndChar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F8" w:rsidRDefault="00C936F8" w:rsidP="005D4A50">
      <w:r>
        <w:separator/>
      </w:r>
    </w:p>
  </w:endnote>
  <w:endnote w:type="continuationSeparator" w:id="0">
    <w:p w:rsidR="00C936F8" w:rsidRDefault="00C936F8" w:rsidP="005D4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 Hei">
    <w:altName w:val="微软雅黑"/>
    <w:charset w:val="86"/>
    <w:family w:val="swiss"/>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44" w:rsidRDefault="00847644">
    <w:pPr>
      <w:pStyle w:val="a3"/>
      <w:ind w:firstLine="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44" w:rsidRDefault="00847644">
    <w:pPr>
      <w:pStyle w:val="a3"/>
      <w:ind w:firstLine="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50" w:rsidRDefault="005D4A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F8" w:rsidRDefault="00C936F8" w:rsidP="005D4A50">
      <w:r>
        <w:separator/>
      </w:r>
    </w:p>
  </w:footnote>
  <w:footnote w:type="continuationSeparator" w:id="0">
    <w:p w:rsidR="00C936F8" w:rsidRDefault="00C936F8" w:rsidP="005D4A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44" w:rsidRDefault="0084764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44" w:rsidRDefault="00847644">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44" w:rsidRDefault="00847644">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spelling="clean"/>
  <w:defaultTabStop w:val="420"/>
  <w:drawingGridVerticalSpacing w:val="160"/>
  <w:displayHorizontalDrawingGridEvery w:val="0"/>
  <w:displayVerticalDrawingGridEvery w:val="2"/>
  <w:characterSpacingControl w:val="compressPunctuation"/>
  <w:hdrShapeDefaults>
    <o:shapedefaults v:ext="edit" spidmax="22530" fillcolor="white">
      <v:fill color="white"/>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EE52EA6"/>
    <w:rsid w:val="00016D57"/>
    <w:rsid w:val="000B21A8"/>
    <w:rsid w:val="000F1B86"/>
    <w:rsid w:val="00156674"/>
    <w:rsid w:val="00165564"/>
    <w:rsid w:val="00285955"/>
    <w:rsid w:val="00294A35"/>
    <w:rsid w:val="002D44B5"/>
    <w:rsid w:val="003F7170"/>
    <w:rsid w:val="00454DD4"/>
    <w:rsid w:val="00466BA3"/>
    <w:rsid w:val="00503B3E"/>
    <w:rsid w:val="00505539"/>
    <w:rsid w:val="00513AF8"/>
    <w:rsid w:val="005558EC"/>
    <w:rsid w:val="00557EEF"/>
    <w:rsid w:val="005D291F"/>
    <w:rsid w:val="005D4A50"/>
    <w:rsid w:val="00637740"/>
    <w:rsid w:val="006953D9"/>
    <w:rsid w:val="0076175F"/>
    <w:rsid w:val="00847644"/>
    <w:rsid w:val="00864C8E"/>
    <w:rsid w:val="008E7D90"/>
    <w:rsid w:val="00AA3536"/>
    <w:rsid w:val="00AB0FF4"/>
    <w:rsid w:val="00AB4F3A"/>
    <w:rsid w:val="00BD036B"/>
    <w:rsid w:val="00BE20A4"/>
    <w:rsid w:val="00C12DEB"/>
    <w:rsid w:val="00C61947"/>
    <w:rsid w:val="00C936F8"/>
    <w:rsid w:val="00D25763"/>
    <w:rsid w:val="00D712D2"/>
    <w:rsid w:val="00ED3591"/>
    <w:rsid w:val="00F10506"/>
    <w:rsid w:val="03B77E59"/>
    <w:rsid w:val="040F1D23"/>
    <w:rsid w:val="05B323BD"/>
    <w:rsid w:val="05F46802"/>
    <w:rsid w:val="0A7D284F"/>
    <w:rsid w:val="0B9B27B7"/>
    <w:rsid w:val="0C602FE2"/>
    <w:rsid w:val="0CA016DE"/>
    <w:rsid w:val="0D4F299B"/>
    <w:rsid w:val="0EE52EA6"/>
    <w:rsid w:val="12AF26EC"/>
    <w:rsid w:val="12CE5CA3"/>
    <w:rsid w:val="147264D7"/>
    <w:rsid w:val="19116E48"/>
    <w:rsid w:val="1C275730"/>
    <w:rsid w:val="1EAB14FF"/>
    <w:rsid w:val="1F551654"/>
    <w:rsid w:val="2B34279F"/>
    <w:rsid w:val="2B5F10C7"/>
    <w:rsid w:val="321E4B5D"/>
    <w:rsid w:val="324324F4"/>
    <w:rsid w:val="340912F7"/>
    <w:rsid w:val="36626EC1"/>
    <w:rsid w:val="37A25137"/>
    <w:rsid w:val="3BC865F0"/>
    <w:rsid w:val="3DE7167B"/>
    <w:rsid w:val="3EF761C7"/>
    <w:rsid w:val="46343037"/>
    <w:rsid w:val="49445CFD"/>
    <w:rsid w:val="4B0746E0"/>
    <w:rsid w:val="4B2114D0"/>
    <w:rsid w:val="4E9C3E57"/>
    <w:rsid w:val="4FC24C65"/>
    <w:rsid w:val="52E436DD"/>
    <w:rsid w:val="5FD94E5B"/>
    <w:rsid w:val="641E31EC"/>
    <w:rsid w:val="64BE7F84"/>
    <w:rsid w:val="6AC40858"/>
    <w:rsid w:val="6EFA6E9E"/>
    <w:rsid w:val="71D42CFF"/>
    <w:rsid w:val="72115B9E"/>
    <w:rsid w:val="7F555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A5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47644"/>
    <w:pPr>
      <w:keepNext/>
      <w:keepLines/>
      <w:spacing w:line="360" w:lineRule="auto"/>
      <w:ind w:firstLineChars="200" w:firstLine="420"/>
      <w:outlineLvl w:val="0"/>
    </w:pPr>
    <w:rPr>
      <w:rFonts w:ascii="Times New Roman" w:eastAsia="仿宋" w:hAnsi="Times New Roman"/>
      <w:b/>
      <w:kern w:val="44"/>
      <w:sz w:val="28"/>
    </w:rPr>
  </w:style>
  <w:style w:type="paragraph" w:styleId="2">
    <w:name w:val="heading 2"/>
    <w:basedOn w:val="a"/>
    <w:next w:val="a"/>
    <w:link w:val="2Char"/>
    <w:unhideWhenUsed/>
    <w:qFormat/>
    <w:rsid w:val="00847644"/>
    <w:pPr>
      <w:keepNext/>
      <w:keepLines/>
      <w:jc w:val="center"/>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4A50"/>
    <w:pPr>
      <w:tabs>
        <w:tab w:val="center" w:pos="4153"/>
        <w:tab w:val="right" w:pos="8306"/>
      </w:tabs>
      <w:snapToGrid w:val="0"/>
      <w:jc w:val="left"/>
    </w:pPr>
    <w:rPr>
      <w:rFonts w:eastAsia="仿宋_GB2312"/>
      <w:sz w:val="24"/>
      <w:szCs w:val="18"/>
    </w:rPr>
  </w:style>
  <w:style w:type="paragraph" w:styleId="a4">
    <w:name w:val="header"/>
    <w:basedOn w:val="a"/>
    <w:qFormat/>
    <w:rsid w:val="005D4A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M1">
    <w:name w:val="CM1"/>
    <w:basedOn w:val="Default"/>
    <w:next w:val="Default"/>
    <w:uiPriority w:val="99"/>
    <w:unhideWhenUsed/>
    <w:qFormat/>
    <w:rsid w:val="005D4A50"/>
  </w:style>
  <w:style w:type="paragraph" w:customStyle="1" w:styleId="Default">
    <w:name w:val="Default"/>
    <w:unhideWhenUsed/>
    <w:qFormat/>
    <w:rsid w:val="005D4A50"/>
    <w:pPr>
      <w:widowControl w:val="0"/>
      <w:autoSpaceDE w:val="0"/>
      <w:autoSpaceDN w:val="0"/>
      <w:adjustRightInd w:val="0"/>
    </w:pPr>
    <w:rPr>
      <w:rFonts w:ascii="Sim Hei" w:eastAsia="Sim Hei" w:hint="eastAsia"/>
      <w:color w:val="000000"/>
      <w:sz w:val="24"/>
    </w:rPr>
  </w:style>
  <w:style w:type="paragraph" w:customStyle="1" w:styleId="CM2">
    <w:name w:val="CM2"/>
    <w:basedOn w:val="Default"/>
    <w:next w:val="Default"/>
    <w:uiPriority w:val="99"/>
    <w:unhideWhenUsed/>
    <w:qFormat/>
    <w:rsid w:val="005D4A50"/>
    <w:pPr>
      <w:spacing w:line="648" w:lineRule="atLeast"/>
    </w:pPr>
  </w:style>
  <w:style w:type="paragraph" w:customStyle="1" w:styleId="CM3">
    <w:name w:val="CM3"/>
    <w:basedOn w:val="Default"/>
    <w:next w:val="Default"/>
    <w:uiPriority w:val="99"/>
    <w:unhideWhenUsed/>
    <w:qFormat/>
    <w:rsid w:val="005D4A50"/>
    <w:pPr>
      <w:spacing w:line="648" w:lineRule="atLeast"/>
    </w:pPr>
  </w:style>
  <w:style w:type="paragraph" w:customStyle="1" w:styleId="p16">
    <w:name w:val="p16"/>
    <w:basedOn w:val="a"/>
    <w:qFormat/>
    <w:rsid w:val="005D4A50"/>
    <w:pPr>
      <w:widowControl/>
      <w:snapToGrid w:val="0"/>
      <w:jc w:val="left"/>
    </w:pPr>
    <w:rPr>
      <w:rFonts w:ascii="黑体" w:eastAsia="黑体" w:hAnsi="黑体" w:cs="宋体"/>
      <w:color w:val="000000"/>
      <w:kern w:val="0"/>
      <w:sz w:val="24"/>
    </w:rPr>
  </w:style>
  <w:style w:type="paragraph" w:customStyle="1" w:styleId="p0">
    <w:name w:val="p0"/>
    <w:basedOn w:val="a"/>
    <w:qFormat/>
    <w:rsid w:val="005D4A50"/>
    <w:pPr>
      <w:widowControl/>
    </w:pPr>
    <w:rPr>
      <w:rFonts w:ascii="Calibri" w:hAnsi="Calibri" w:cs="宋体"/>
      <w:kern w:val="0"/>
      <w:szCs w:val="21"/>
    </w:rPr>
  </w:style>
  <w:style w:type="character" w:customStyle="1" w:styleId="1Char">
    <w:name w:val="标题 1 Char"/>
    <w:basedOn w:val="a0"/>
    <w:link w:val="1"/>
    <w:rsid w:val="00847644"/>
    <w:rPr>
      <w:rFonts w:ascii="Times New Roman" w:eastAsia="仿宋" w:hAnsi="Times New Roman" w:cstheme="minorBidi"/>
      <w:b/>
      <w:kern w:val="44"/>
      <w:sz w:val="28"/>
      <w:szCs w:val="24"/>
    </w:rPr>
  </w:style>
  <w:style w:type="character" w:customStyle="1" w:styleId="2Char">
    <w:name w:val="标题 2 Char"/>
    <w:basedOn w:val="a0"/>
    <w:link w:val="2"/>
    <w:rsid w:val="00847644"/>
    <w:rPr>
      <w:rFonts w:ascii="Arial" w:eastAsia="黑体" w:hAnsi="Arial" w:cstheme="minorBidi"/>
      <w:kern w:val="2"/>
      <w:sz w:val="21"/>
      <w:szCs w:val="24"/>
    </w:rPr>
  </w:style>
  <w:style w:type="table" w:styleId="a5">
    <w:name w:val="Table Grid"/>
    <w:basedOn w:val="a1"/>
    <w:autoRedefine/>
    <w:uiPriority w:val="99"/>
    <w:qFormat/>
    <w:rsid w:val="0084764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图表内容"/>
    <w:basedOn w:val="a"/>
    <w:next w:val="a"/>
    <w:autoRedefine/>
    <w:qFormat/>
    <w:rsid w:val="00847644"/>
    <w:pPr>
      <w:jc w:val="center"/>
    </w:pPr>
    <w:rPr>
      <w:rFonts w:ascii="Times New Roman" w:eastAsia="黑体" w:hAnsi="Times New Roman"/>
      <w:sz w:val="18"/>
    </w:rPr>
  </w:style>
</w:styles>
</file>

<file path=word/webSettings.xml><?xml version="1.0" encoding="utf-8"?>
<w:webSettings xmlns:r="http://schemas.openxmlformats.org/officeDocument/2006/relationships" xmlns:w="http://schemas.openxmlformats.org/wordprocessingml/2006/main">
  <w:divs>
    <w:div w:id="55728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2023-12-29T10:26:00Z</cp:lastPrinted>
  <dcterms:created xsi:type="dcterms:W3CDTF">2019-03-21T09:19:00Z</dcterms:created>
  <dcterms:modified xsi:type="dcterms:W3CDTF">2024-03-19T08:40:00Z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